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647" w:rsidRPr="00761359" w:rsidRDefault="00F63647" w:rsidP="00F63647">
      <w:pPr>
        <w:jc w:val="right"/>
        <w:rPr>
          <w:rFonts w:ascii="Times New Roman" w:hAnsi="Times New Roman" w:cs="Times New Roman"/>
          <w:i/>
          <w:sz w:val="24"/>
          <w:szCs w:val="28"/>
          <w:lang w:val="ro-RO"/>
        </w:rPr>
      </w:pPr>
      <w:r>
        <w:rPr>
          <w:rFonts w:ascii="Times New Roman" w:hAnsi="Times New Roman" w:cs="Times New Roman"/>
          <w:i/>
          <w:sz w:val="24"/>
          <w:szCs w:val="28"/>
          <w:lang w:val="ro-RO"/>
        </w:rPr>
        <w:t>Anexa la decizia                                                                                                                                                     Consiliului orășenesc Ștefan Vodă                                                                                                                     nr.__din___________2023</w:t>
      </w:r>
    </w:p>
    <w:p w:rsidR="00F63647" w:rsidRPr="003D0E1A" w:rsidRDefault="00F63647" w:rsidP="00F6364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D0E1A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Regulament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</w:t>
      </w:r>
      <w:r w:rsidRPr="003D0E1A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stabilirea indemnizației lunare pentru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</w:t>
      </w:r>
      <w:r w:rsidRPr="003D0E1A">
        <w:rPr>
          <w:rFonts w:ascii="Times New Roman" w:hAnsi="Times New Roman" w:cs="Times New Roman"/>
          <w:b/>
          <w:sz w:val="28"/>
          <w:szCs w:val="28"/>
          <w:lang w:val="ro-RO"/>
        </w:rPr>
        <w:t>personalul din cadrul Primăriei orașului Ștefan Vodă</w:t>
      </w:r>
    </w:p>
    <w:p w:rsidR="00F63647" w:rsidRDefault="00F63647" w:rsidP="00F6364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D0E1A">
        <w:rPr>
          <w:rFonts w:ascii="Times New Roman" w:hAnsi="Times New Roman" w:cs="Times New Roman"/>
          <w:b/>
          <w:sz w:val="28"/>
          <w:szCs w:val="28"/>
          <w:lang w:val="ro-RO"/>
        </w:rPr>
        <w:t>DISPOZIȚII GENERALE</w:t>
      </w:r>
    </w:p>
    <w:p w:rsidR="00F63647" w:rsidRPr="00C44A34" w:rsidRDefault="00F63647" w:rsidP="00F6364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4A34">
        <w:rPr>
          <w:rFonts w:ascii="Times New Roman" w:hAnsi="Times New Roman" w:cs="Times New Roman"/>
          <w:b/>
          <w:sz w:val="28"/>
          <w:szCs w:val="28"/>
          <w:lang w:val="ro-RO"/>
        </w:rPr>
        <w:t>1.</w:t>
      </w:r>
      <w:r w:rsidRPr="00C44A34">
        <w:rPr>
          <w:rFonts w:ascii="Times New Roman" w:hAnsi="Times New Roman" w:cs="Times New Roman"/>
          <w:sz w:val="28"/>
          <w:szCs w:val="28"/>
          <w:lang w:val="ro-RO"/>
        </w:rPr>
        <w:t xml:space="preserve"> Prevederile Regulamentului privind stabilirea indemnizației lunare pentru personalul din cadrul Primăăriei orașului Ștefan Vodă (în continuare - </w:t>
      </w:r>
      <w:r w:rsidRPr="00C44A34">
        <w:rPr>
          <w:rFonts w:ascii="Times New Roman" w:hAnsi="Times New Roman" w:cs="Times New Roman"/>
          <w:i/>
          <w:sz w:val="28"/>
          <w:szCs w:val="28"/>
          <w:lang w:val="ro-RO"/>
        </w:rPr>
        <w:t>Regulament</w:t>
      </w:r>
      <w:r w:rsidRPr="00C44A34">
        <w:rPr>
          <w:rFonts w:ascii="Times New Roman" w:hAnsi="Times New Roman" w:cs="Times New Roman"/>
          <w:sz w:val="28"/>
          <w:szCs w:val="28"/>
          <w:lang w:val="ro-RO"/>
        </w:rPr>
        <w:t>) se aplică la stabilirea indemnizației lunare pentru personalul din cadrul entității.</w:t>
      </w:r>
    </w:p>
    <w:p w:rsidR="00F63647" w:rsidRPr="00C44A34" w:rsidRDefault="00F63647" w:rsidP="00F6364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4A34">
        <w:rPr>
          <w:rFonts w:ascii="Times New Roman" w:hAnsi="Times New Roman" w:cs="Times New Roman"/>
          <w:b/>
          <w:sz w:val="28"/>
          <w:szCs w:val="28"/>
          <w:lang w:val="ro-RO"/>
        </w:rPr>
        <w:t>2.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44A34">
        <w:rPr>
          <w:rFonts w:ascii="Times New Roman" w:hAnsi="Times New Roman" w:cs="Times New Roman"/>
          <w:sz w:val="28"/>
          <w:szCs w:val="28"/>
          <w:lang w:val="ro-RO"/>
        </w:rPr>
        <w:t xml:space="preserve">Prezentul Regulament reglementează modul, crităriiile și condițiile de stabilire a indemnizației lunare personalului din aparatul primăriei, încadrat în conformitate cu statele de personal avizate de către Cancelaria de Stat, precum și personalului cu funcții de demnitate publică (primar, viceprimar). </w:t>
      </w:r>
    </w:p>
    <w:p w:rsidR="00F63647" w:rsidRPr="00C44A34" w:rsidRDefault="00F63647" w:rsidP="00F6364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4A34">
        <w:rPr>
          <w:rFonts w:ascii="Times New Roman" w:hAnsi="Times New Roman" w:cs="Times New Roman"/>
          <w:b/>
          <w:sz w:val="28"/>
          <w:szCs w:val="28"/>
          <w:lang w:val="ro-RO"/>
        </w:rPr>
        <w:t>3.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44A34">
        <w:rPr>
          <w:rFonts w:ascii="Times New Roman" w:hAnsi="Times New Roman" w:cs="Times New Roman"/>
          <w:sz w:val="28"/>
          <w:szCs w:val="28"/>
          <w:lang w:val="ro-RO"/>
        </w:rPr>
        <w:t>În sensul prezentului Regulament, următoarele noțiuni semnifică:</w:t>
      </w:r>
    </w:p>
    <w:p w:rsidR="00F63647" w:rsidRPr="00C44A34" w:rsidRDefault="00F63647" w:rsidP="00F6364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4A34">
        <w:rPr>
          <w:rFonts w:ascii="Times New Roman" w:hAnsi="Times New Roman" w:cs="Times New Roman"/>
          <w:b/>
          <w:i/>
          <w:sz w:val="28"/>
          <w:szCs w:val="28"/>
          <w:lang w:val="ro-RO"/>
        </w:rPr>
        <w:t>autoritate a administrației publice locale eligibilă</w:t>
      </w:r>
      <w:r w:rsidRPr="00C44A34">
        <w:rPr>
          <w:rFonts w:ascii="Times New Roman" w:hAnsi="Times New Roman" w:cs="Times New Roman"/>
          <w:sz w:val="28"/>
          <w:szCs w:val="28"/>
          <w:lang w:val="ro-RO"/>
        </w:rPr>
        <w:t xml:space="preserve"> – autoritate executivă a admistrației publice locale de nivelul întâi, care are capacitate administrativă adecvată conform cerințelor prevăvute la art. 11 alin. (2) din Legea nr.435/2003 privind descentralizarea administrativă;</w:t>
      </w:r>
    </w:p>
    <w:p w:rsidR="00F63647" w:rsidRPr="00C44A34" w:rsidRDefault="00F63647" w:rsidP="00F6364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4A34">
        <w:rPr>
          <w:rFonts w:ascii="Times New Roman" w:hAnsi="Times New Roman" w:cs="Times New Roman"/>
          <w:b/>
          <w:i/>
          <w:sz w:val="28"/>
          <w:szCs w:val="28"/>
          <w:lang w:val="ro-RO"/>
        </w:rPr>
        <w:t>capacitate administrativă</w:t>
      </w:r>
      <w:r w:rsidRPr="00C44A34">
        <w:rPr>
          <w:rFonts w:ascii="Times New Roman" w:hAnsi="Times New Roman" w:cs="Times New Roman"/>
          <w:sz w:val="28"/>
          <w:szCs w:val="28"/>
          <w:lang w:val="ro-RO"/>
        </w:rPr>
        <w:t xml:space="preserve">  -  ansamblu de resurse materiale, instuționale, umane și financiare de care dispune unitatea administrativ-teritorială, necesare pentru gestionarea și realizarea eficientă a competențelor ce îi revin potrivit cadrului normativ;</w:t>
      </w:r>
    </w:p>
    <w:p w:rsidR="00F63647" w:rsidRPr="00C44A34" w:rsidRDefault="00F63647" w:rsidP="00F6364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4A34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capacitatea administratică adecvată </w:t>
      </w:r>
      <w:r w:rsidRPr="00C44A34">
        <w:rPr>
          <w:rFonts w:ascii="Times New Roman" w:hAnsi="Times New Roman" w:cs="Times New Roman"/>
          <w:sz w:val="28"/>
          <w:szCs w:val="28"/>
          <w:lang w:val="ro-RO"/>
        </w:rPr>
        <w:t>– situație în care volumul cheltuielilor administrative a unității administrativ-teritoriale nu depășește 50% din suma totală a veniturilor propriiși a defalcărilor de la impozite și taxele de stat;</w:t>
      </w:r>
    </w:p>
    <w:p w:rsidR="00F63647" w:rsidRPr="00C44A34" w:rsidRDefault="00F63647" w:rsidP="00F6364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4A34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cheltuieli administrative  </w:t>
      </w:r>
      <w:r w:rsidRPr="00C44A34">
        <w:rPr>
          <w:rFonts w:ascii="Times New Roman" w:hAnsi="Times New Roman" w:cs="Times New Roman"/>
          <w:sz w:val="28"/>
          <w:szCs w:val="28"/>
          <w:lang w:val="ro-RO"/>
        </w:rPr>
        <w:t>- cheltuieli efectuate pentru întreținerea aparatului autorității administrației publice locale, stabilite în baza metodologiei aprobate de Ministerul Finanțelor în coordonare cu Cancelaria de Stat;</w:t>
      </w:r>
    </w:p>
    <w:p w:rsidR="00F63647" w:rsidRPr="00C44A34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44A34">
        <w:rPr>
          <w:rFonts w:ascii="Times New Roman" w:hAnsi="Times New Roman" w:cs="Times New Roman"/>
          <w:b/>
          <w:i/>
          <w:sz w:val="28"/>
          <w:szCs w:val="28"/>
        </w:rPr>
        <w:t>venituri</w:t>
      </w:r>
      <w:proofErr w:type="spellEnd"/>
      <w:proofErr w:type="gramEnd"/>
      <w:r w:rsidRPr="00C44A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b/>
          <w:i/>
          <w:sz w:val="28"/>
          <w:szCs w:val="28"/>
        </w:rPr>
        <w:t>proprii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bugetelor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formate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impozitele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taxele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plăţi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încasează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direct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integral la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bugetele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respective conform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Codului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fiscal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. 1163/1997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normative; </w:t>
      </w:r>
    </w:p>
    <w:p w:rsidR="00F63647" w:rsidRPr="00C44A34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44A34">
        <w:rPr>
          <w:rFonts w:ascii="Times New Roman" w:hAnsi="Times New Roman" w:cs="Times New Roman"/>
          <w:b/>
          <w:i/>
          <w:sz w:val="28"/>
          <w:szCs w:val="28"/>
        </w:rPr>
        <w:t>defalcări</w:t>
      </w:r>
      <w:proofErr w:type="spellEnd"/>
      <w:proofErr w:type="gramEnd"/>
      <w:r w:rsidRPr="00C44A34">
        <w:rPr>
          <w:rFonts w:ascii="Times New Roman" w:hAnsi="Times New Roman" w:cs="Times New Roman"/>
          <w:b/>
          <w:i/>
          <w:sz w:val="28"/>
          <w:szCs w:val="28"/>
        </w:rPr>
        <w:t xml:space="preserve"> de la </w:t>
      </w:r>
      <w:proofErr w:type="spellStart"/>
      <w:r w:rsidRPr="00C44A34">
        <w:rPr>
          <w:rFonts w:ascii="Times New Roman" w:hAnsi="Times New Roman" w:cs="Times New Roman"/>
          <w:b/>
          <w:i/>
          <w:sz w:val="28"/>
          <w:szCs w:val="28"/>
        </w:rPr>
        <w:t>impozitele</w:t>
      </w:r>
      <w:proofErr w:type="spellEnd"/>
      <w:r w:rsidRPr="00C44A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b/>
          <w:i/>
          <w:sz w:val="28"/>
          <w:szCs w:val="28"/>
        </w:rPr>
        <w:t>și</w:t>
      </w:r>
      <w:proofErr w:type="spellEnd"/>
      <w:r w:rsidRPr="00C44A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b/>
          <w:i/>
          <w:sz w:val="28"/>
          <w:szCs w:val="28"/>
        </w:rPr>
        <w:t>taxele</w:t>
      </w:r>
      <w:proofErr w:type="spellEnd"/>
      <w:r w:rsidRPr="00C44A34">
        <w:rPr>
          <w:rFonts w:ascii="Times New Roman" w:hAnsi="Times New Roman" w:cs="Times New Roman"/>
          <w:b/>
          <w:i/>
          <w:sz w:val="28"/>
          <w:szCs w:val="28"/>
        </w:rPr>
        <w:t xml:space="preserve"> de stat</w:t>
      </w:r>
      <w:r w:rsidRPr="00C44A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cote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procentuale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defalcări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impozitele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taxele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încasate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bugetele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locale conform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. 397/2003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finanțele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locale; </w:t>
      </w:r>
    </w:p>
    <w:p w:rsidR="00F63647" w:rsidRPr="00C44A34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44A34">
        <w:rPr>
          <w:rFonts w:ascii="Times New Roman" w:hAnsi="Times New Roman" w:cs="Times New Roman"/>
          <w:b/>
          <w:i/>
          <w:sz w:val="28"/>
          <w:szCs w:val="28"/>
        </w:rPr>
        <w:t>indemnizație</w:t>
      </w:r>
      <w:proofErr w:type="spellEnd"/>
      <w:proofErr w:type="gramEnd"/>
      <w:r w:rsidRPr="00C44A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b/>
          <w:i/>
          <w:sz w:val="28"/>
          <w:szCs w:val="28"/>
        </w:rPr>
        <w:t>lunară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recompensă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bănească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impozabilă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alta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decât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salariul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achitat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angajatului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aparatului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funcții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demnitate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lastRenderedPageBreak/>
        <w:t>publică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conducătorului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autorității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locale; </w:t>
      </w:r>
    </w:p>
    <w:p w:rsidR="00F63647" w:rsidRPr="00C44A34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44A34">
        <w:rPr>
          <w:rFonts w:ascii="Times New Roman" w:hAnsi="Times New Roman" w:cs="Times New Roman"/>
          <w:b/>
          <w:i/>
          <w:sz w:val="28"/>
          <w:szCs w:val="28"/>
        </w:rPr>
        <w:t>timp</w:t>
      </w:r>
      <w:proofErr w:type="spellEnd"/>
      <w:proofErr w:type="gramEnd"/>
      <w:r w:rsidRPr="00C44A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b/>
          <w:i/>
          <w:sz w:val="28"/>
          <w:szCs w:val="28"/>
        </w:rPr>
        <w:t>efectiv</w:t>
      </w:r>
      <w:proofErr w:type="spellEnd"/>
      <w:r w:rsidRPr="00C44A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b/>
          <w:i/>
          <w:sz w:val="28"/>
          <w:szCs w:val="28"/>
        </w:rPr>
        <w:t>lucrat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angajatul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execută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nemijlocit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obligațiile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sale de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acesta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inițiativa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angajatorului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, s-a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aflat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deplasare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cursuri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instruire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3647" w:rsidRPr="00C44A34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44A34">
        <w:rPr>
          <w:rFonts w:ascii="Times New Roman" w:hAnsi="Times New Roman" w:cs="Times New Roman"/>
          <w:b/>
          <w:i/>
          <w:sz w:val="28"/>
          <w:szCs w:val="28"/>
        </w:rPr>
        <w:t>beneficiarii</w:t>
      </w:r>
      <w:proofErr w:type="spellEnd"/>
      <w:proofErr w:type="gramEnd"/>
      <w:r w:rsidRPr="00C44A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b/>
          <w:i/>
          <w:sz w:val="28"/>
          <w:szCs w:val="28"/>
        </w:rPr>
        <w:t>indemnizației</w:t>
      </w:r>
      <w:proofErr w:type="spellEnd"/>
      <w:r w:rsidRPr="00C44A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b/>
          <w:i/>
          <w:sz w:val="28"/>
          <w:szCs w:val="28"/>
        </w:rPr>
        <w:t>lunare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– personal al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executive ale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eligibile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încadrat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statele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de personal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avizate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Cancelaria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de Stat,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funcții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demnitate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3647" w:rsidRPr="00C44A34" w:rsidRDefault="00F63647" w:rsidP="00F6364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C44A34">
        <w:rPr>
          <w:rFonts w:ascii="Times New Roman" w:hAnsi="Times New Roman" w:cs="Times New Roman"/>
          <w:b/>
          <w:i/>
          <w:sz w:val="28"/>
          <w:szCs w:val="28"/>
        </w:rPr>
        <w:t>indice</w:t>
      </w:r>
      <w:proofErr w:type="spellEnd"/>
      <w:r w:rsidRPr="00C44A34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C44A34">
        <w:rPr>
          <w:rFonts w:ascii="Times New Roman" w:hAnsi="Times New Roman" w:cs="Times New Roman"/>
          <w:b/>
          <w:i/>
          <w:sz w:val="28"/>
          <w:szCs w:val="28"/>
        </w:rPr>
        <w:t>referință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cotă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maximă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salariul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indemnizației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lunare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aprobată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local/municipal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corelată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capacității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administrative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adecvate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dar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care nu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depăși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40% din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salariul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44A34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C44A34">
        <w:rPr>
          <w:rFonts w:ascii="Times New Roman" w:hAnsi="Times New Roman" w:cs="Times New Roman"/>
          <w:sz w:val="28"/>
          <w:szCs w:val="28"/>
        </w:rPr>
        <w:t>.</w:t>
      </w:r>
      <w:r w:rsidRPr="00C44A3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63647" w:rsidRPr="00384115" w:rsidRDefault="00F63647" w:rsidP="00F6364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84115">
        <w:rPr>
          <w:rFonts w:ascii="Times New Roman" w:hAnsi="Times New Roman" w:cs="Times New Roman"/>
          <w:b/>
          <w:sz w:val="28"/>
          <w:szCs w:val="28"/>
          <w:lang w:val="ro-RO"/>
        </w:rPr>
        <w:t>CRITERIILE ȘI CONDIȚII DE STABILIRE A INDEMNIZAȚIEI LUNARE</w:t>
      </w:r>
    </w:p>
    <w:p w:rsidR="00F63647" w:rsidRPr="00384115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r w:rsidRPr="00384115">
        <w:rPr>
          <w:rFonts w:ascii="Times New Roman" w:hAnsi="Times New Roman" w:cs="Times New Roman"/>
          <w:b/>
          <w:sz w:val="28"/>
          <w:szCs w:val="28"/>
          <w:lang w:val="ro-RO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Indicele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referință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411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indemnizației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lunare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stabilește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capacității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administrative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adecvate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autorității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eligibile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Cotele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maxime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indemnizației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lunare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indici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referință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) din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salariul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corelate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capacității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administrative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adecvate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prezintă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tabel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09"/>
        <w:gridCol w:w="4999"/>
      </w:tblGrid>
      <w:tr w:rsidR="00F63647" w:rsidTr="00AB6FFF">
        <w:tc>
          <w:tcPr>
            <w:tcW w:w="5264" w:type="dxa"/>
          </w:tcPr>
          <w:p w:rsidR="00F63647" w:rsidRPr="00384115" w:rsidRDefault="00F63647" w:rsidP="00AB6F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>Capacitatea</w:t>
            </w:r>
            <w:proofErr w:type="spellEnd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>administrativă</w:t>
            </w:r>
            <w:proofErr w:type="spellEnd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>adecvată</w:t>
            </w:r>
            <w:proofErr w:type="spellEnd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>unităților</w:t>
            </w:r>
            <w:proofErr w:type="spellEnd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>administrativ</w:t>
            </w:r>
            <w:proofErr w:type="spellEnd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>teritoriale</w:t>
            </w:r>
            <w:proofErr w:type="spellEnd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65" w:type="dxa"/>
          </w:tcPr>
          <w:p w:rsidR="00F63647" w:rsidRPr="00384115" w:rsidRDefault="00F63647" w:rsidP="00AB6F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Cota </w:t>
            </w:r>
            <w:proofErr w:type="spellStart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>maximă</w:t>
            </w:r>
            <w:proofErr w:type="spellEnd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>indemnizației</w:t>
            </w:r>
            <w:proofErr w:type="spellEnd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>lunare</w:t>
            </w:r>
            <w:proofErr w:type="spellEnd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>indicii</w:t>
            </w:r>
            <w:proofErr w:type="spellEnd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</w:t>
            </w:r>
            <w:proofErr w:type="spellStart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>referință</w:t>
            </w:r>
            <w:proofErr w:type="spellEnd"/>
            <w:r w:rsidRPr="003841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63647" w:rsidTr="00AB6FFF">
        <w:tc>
          <w:tcPr>
            <w:tcW w:w="5264" w:type="dxa"/>
          </w:tcPr>
          <w:p w:rsidR="00F63647" w:rsidRDefault="00F63647" w:rsidP="00AB6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115">
              <w:rPr>
                <w:rFonts w:ascii="Times New Roman" w:hAnsi="Times New Roman" w:cs="Times New Roman"/>
                <w:sz w:val="28"/>
                <w:szCs w:val="28"/>
              </w:rPr>
              <w:t>Mai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115">
              <w:rPr>
                <w:rFonts w:ascii="Times New Roman" w:hAnsi="Times New Roman" w:cs="Times New Roman"/>
                <w:sz w:val="28"/>
                <w:szCs w:val="28"/>
              </w:rPr>
              <w:t>puțin</w:t>
            </w:r>
            <w:proofErr w:type="spellEnd"/>
            <w:r w:rsidRPr="00384115">
              <w:rPr>
                <w:rFonts w:ascii="Times New Roman" w:hAnsi="Times New Roman" w:cs="Times New Roman"/>
                <w:sz w:val="28"/>
                <w:szCs w:val="28"/>
              </w:rPr>
              <w:t xml:space="preserve"> de 20%</w:t>
            </w:r>
          </w:p>
        </w:tc>
        <w:tc>
          <w:tcPr>
            <w:tcW w:w="5265" w:type="dxa"/>
          </w:tcPr>
          <w:p w:rsidR="00F63647" w:rsidRDefault="00F63647" w:rsidP="00AB6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115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F63647" w:rsidTr="00AB6FFF">
        <w:tc>
          <w:tcPr>
            <w:tcW w:w="5264" w:type="dxa"/>
          </w:tcPr>
          <w:p w:rsidR="00F63647" w:rsidRDefault="00F63647" w:rsidP="00AB6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20%-30%</w:t>
            </w:r>
          </w:p>
        </w:tc>
        <w:tc>
          <w:tcPr>
            <w:tcW w:w="5265" w:type="dxa"/>
          </w:tcPr>
          <w:p w:rsidR="00F63647" w:rsidRDefault="00F63647" w:rsidP="00AB6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84115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63647" w:rsidTr="00AB6FFF">
        <w:tc>
          <w:tcPr>
            <w:tcW w:w="5264" w:type="dxa"/>
          </w:tcPr>
          <w:p w:rsidR="00F63647" w:rsidRDefault="00F63647" w:rsidP="00AB6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115">
              <w:rPr>
                <w:rFonts w:ascii="Times New Roman" w:hAnsi="Times New Roman" w:cs="Times New Roman"/>
                <w:sz w:val="28"/>
                <w:szCs w:val="28"/>
              </w:rPr>
              <w:t>30%-40%</w:t>
            </w:r>
          </w:p>
        </w:tc>
        <w:tc>
          <w:tcPr>
            <w:tcW w:w="5265" w:type="dxa"/>
          </w:tcPr>
          <w:p w:rsidR="00F63647" w:rsidRDefault="00F63647" w:rsidP="00AB6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84115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F63647" w:rsidTr="00AB6FFF">
        <w:tc>
          <w:tcPr>
            <w:tcW w:w="5264" w:type="dxa"/>
          </w:tcPr>
          <w:p w:rsidR="00F63647" w:rsidRDefault="00F63647" w:rsidP="00AB6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115">
              <w:rPr>
                <w:rFonts w:ascii="Times New Roman" w:hAnsi="Times New Roman" w:cs="Times New Roman"/>
                <w:sz w:val="28"/>
                <w:szCs w:val="28"/>
              </w:rPr>
              <w:t>40%-50%</w:t>
            </w:r>
          </w:p>
        </w:tc>
        <w:tc>
          <w:tcPr>
            <w:tcW w:w="5265" w:type="dxa"/>
          </w:tcPr>
          <w:p w:rsidR="00F63647" w:rsidRDefault="00F63647" w:rsidP="00AB6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115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</w:tbl>
    <w:p w:rsidR="00F63647" w:rsidRPr="00384115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3647" w:rsidRPr="00384115" w:rsidRDefault="00F63647" w:rsidP="00F63647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384115">
        <w:rPr>
          <w:rFonts w:ascii="Times New Roman" w:hAnsi="Times New Roman" w:cs="Times New Roman"/>
          <w:b/>
          <w:sz w:val="24"/>
          <w:szCs w:val="28"/>
        </w:rPr>
        <w:t>Notă</w:t>
      </w:r>
      <w:proofErr w:type="spellEnd"/>
      <w:r w:rsidRPr="00384115">
        <w:rPr>
          <w:rFonts w:ascii="Times New Roman" w:hAnsi="Times New Roman" w:cs="Times New Roman"/>
          <w:b/>
          <w:sz w:val="24"/>
          <w:szCs w:val="28"/>
        </w:rPr>
        <w:t>:</w:t>
      </w:r>
      <w:r w:rsidRPr="0038411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4"/>
          <w:szCs w:val="28"/>
        </w:rPr>
        <w:t>Capacitatea</w:t>
      </w:r>
      <w:proofErr w:type="spellEnd"/>
      <w:r w:rsidRPr="0038411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4"/>
          <w:szCs w:val="28"/>
        </w:rPr>
        <w:t>administrativă</w:t>
      </w:r>
      <w:proofErr w:type="spellEnd"/>
      <w:r w:rsidRPr="00384115">
        <w:rPr>
          <w:rFonts w:ascii="Times New Roman" w:hAnsi="Times New Roman" w:cs="Times New Roman"/>
          <w:sz w:val="24"/>
          <w:szCs w:val="28"/>
        </w:rPr>
        <w:t xml:space="preserve"> se </w:t>
      </w:r>
      <w:proofErr w:type="spellStart"/>
      <w:r w:rsidRPr="00384115">
        <w:rPr>
          <w:rFonts w:ascii="Times New Roman" w:hAnsi="Times New Roman" w:cs="Times New Roman"/>
          <w:sz w:val="24"/>
          <w:szCs w:val="28"/>
        </w:rPr>
        <w:t>calculează</w:t>
      </w:r>
      <w:proofErr w:type="spellEnd"/>
      <w:r w:rsidRPr="0038411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4"/>
          <w:szCs w:val="28"/>
        </w:rPr>
        <w:t>după</w:t>
      </w:r>
      <w:proofErr w:type="spellEnd"/>
      <w:r w:rsidRPr="00384115">
        <w:rPr>
          <w:rFonts w:ascii="Times New Roman" w:hAnsi="Times New Roman" w:cs="Times New Roman"/>
          <w:sz w:val="24"/>
          <w:szCs w:val="28"/>
        </w:rPr>
        <w:t xml:space="preserve"> formula: </w:t>
      </w:r>
    </w:p>
    <w:p w:rsidR="00F63647" w:rsidRPr="00384115" w:rsidRDefault="00F63647" w:rsidP="00F63647">
      <w:pPr>
        <w:jc w:val="center"/>
        <w:rPr>
          <w:rFonts w:ascii="Times New Roman" w:hAnsi="Times New Roman" w:cs="Times New Roman"/>
          <w:sz w:val="24"/>
          <w:szCs w:val="28"/>
        </w:rPr>
      </w:pPr>
      <w:r w:rsidRPr="00384115">
        <w:rPr>
          <w:rFonts w:ascii="Times New Roman" w:hAnsi="Times New Roman" w:cs="Times New Roman"/>
          <w:sz w:val="24"/>
          <w:szCs w:val="28"/>
        </w:rPr>
        <w:t xml:space="preserve">Cad. </w:t>
      </w:r>
      <w:proofErr w:type="gramStart"/>
      <w:r w:rsidRPr="00384115">
        <w:rPr>
          <w:rFonts w:ascii="Times New Roman" w:hAnsi="Times New Roman" w:cs="Times New Roman"/>
          <w:sz w:val="24"/>
          <w:szCs w:val="28"/>
        </w:rPr>
        <w:t xml:space="preserve">= </w:t>
      </w:r>
      <w:r w:rsidRPr="00384115">
        <w:rPr>
          <w:rFonts w:ascii="Times New Roman" w:hAnsi="Times New Roman" w:cs="Times New Roman"/>
          <w:sz w:val="24"/>
          <w:szCs w:val="28"/>
          <w:u w:val="single"/>
        </w:rPr>
        <w:t>A</w:t>
      </w:r>
      <w:proofErr w:type="gramEnd"/>
      <w:r w:rsidRPr="00384115">
        <w:rPr>
          <w:rFonts w:ascii="Times New Roman" w:hAnsi="Times New Roman" w:cs="Times New Roman"/>
          <w:sz w:val="24"/>
          <w:szCs w:val="28"/>
          <w:u w:val="single"/>
        </w:rPr>
        <w:t xml:space="preserve"> x 100%</w:t>
      </w:r>
      <w:r w:rsidRPr="00384115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384115">
        <w:rPr>
          <w:rFonts w:ascii="Times New Roman" w:hAnsi="Times New Roman" w:cs="Times New Roman"/>
          <w:sz w:val="24"/>
          <w:szCs w:val="28"/>
        </w:rPr>
        <w:t>B</w:t>
      </w:r>
    </w:p>
    <w:p w:rsidR="00F63647" w:rsidRPr="00384115" w:rsidRDefault="00F63647" w:rsidP="00F6364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proofErr w:type="spellStart"/>
      <w:proofErr w:type="gramStart"/>
      <w:r w:rsidRPr="00384115">
        <w:rPr>
          <w:rFonts w:ascii="Times New Roman" w:hAnsi="Times New Roman" w:cs="Times New Roman"/>
          <w:sz w:val="24"/>
          <w:szCs w:val="28"/>
        </w:rPr>
        <w:t>unde</w:t>
      </w:r>
      <w:proofErr w:type="spellEnd"/>
      <w:proofErr w:type="gramEnd"/>
      <w:r w:rsidRPr="00384115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F63647" w:rsidRPr="00384115" w:rsidRDefault="00F63647" w:rsidP="00F6364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384115">
        <w:rPr>
          <w:rFonts w:ascii="Times New Roman" w:hAnsi="Times New Roman" w:cs="Times New Roman"/>
          <w:sz w:val="24"/>
          <w:szCs w:val="28"/>
        </w:rPr>
        <w:t xml:space="preserve">A – </w:t>
      </w:r>
      <w:proofErr w:type="spellStart"/>
      <w:proofErr w:type="gramStart"/>
      <w:r w:rsidRPr="00384115">
        <w:rPr>
          <w:rFonts w:ascii="Times New Roman" w:hAnsi="Times New Roman" w:cs="Times New Roman"/>
          <w:sz w:val="24"/>
          <w:szCs w:val="28"/>
        </w:rPr>
        <w:t>reprezintă</w:t>
      </w:r>
      <w:proofErr w:type="spellEnd"/>
      <w:proofErr w:type="gramEnd"/>
      <w:r w:rsidRPr="0038411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4"/>
          <w:szCs w:val="28"/>
        </w:rPr>
        <w:t>cheltuielile</w:t>
      </w:r>
      <w:proofErr w:type="spellEnd"/>
      <w:r w:rsidRPr="00384115">
        <w:rPr>
          <w:rFonts w:ascii="Times New Roman" w:hAnsi="Times New Roman" w:cs="Times New Roman"/>
          <w:sz w:val="24"/>
          <w:szCs w:val="28"/>
        </w:rPr>
        <w:t xml:space="preserve"> administrative; </w:t>
      </w:r>
    </w:p>
    <w:p w:rsidR="00F63647" w:rsidRPr="00384115" w:rsidRDefault="00F63647" w:rsidP="00F6364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384115">
        <w:rPr>
          <w:rFonts w:ascii="Times New Roman" w:hAnsi="Times New Roman" w:cs="Times New Roman"/>
          <w:sz w:val="24"/>
          <w:szCs w:val="28"/>
        </w:rPr>
        <w:t xml:space="preserve">B – </w:t>
      </w:r>
      <w:proofErr w:type="spellStart"/>
      <w:proofErr w:type="gramStart"/>
      <w:r w:rsidRPr="00384115">
        <w:rPr>
          <w:rFonts w:ascii="Times New Roman" w:hAnsi="Times New Roman" w:cs="Times New Roman"/>
          <w:sz w:val="24"/>
          <w:szCs w:val="28"/>
        </w:rPr>
        <w:t>veniturile</w:t>
      </w:r>
      <w:proofErr w:type="spellEnd"/>
      <w:proofErr w:type="gramEnd"/>
      <w:r w:rsidRPr="0038411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4"/>
          <w:szCs w:val="28"/>
        </w:rPr>
        <w:t>proprii</w:t>
      </w:r>
      <w:proofErr w:type="spellEnd"/>
      <w:r w:rsidRPr="0038411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4"/>
          <w:szCs w:val="28"/>
        </w:rPr>
        <w:t>și</w:t>
      </w:r>
      <w:proofErr w:type="spellEnd"/>
      <w:r w:rsidRPr="0038411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4"/>
          <w:szCs w:val="28"/>
        </w:rPr>
        <w:t>defalcările</w:t>
      </w:r>
      <w:proofErr w:type="spellEnd"/>
      <w:r w:rsidRPr="00384115">
        <w:rPr>
          <w:rFonts w:ascii="Times New Roman" w:hAnsi="Times New Roman" w:cs="Times New Roman"/>
          <w:sz w:val="24"/>
          <w:szCs w:val="28"/>
        </w:rPr>
        <w:t xml:space="preserve"> de la </w:t>
      </w:r>
      <w:proofErr w:type="spellStart"/>
      <w:r w:rsidRPr="00384115">
        <w:rPr>
          <w:rFonts w:ascii="Times New Roman" w:hAnsi="Times New Roman" w:cs="Times New Roman"/>
          <w:sz w:val="24"/>
          <w:szCs w:val="28"/>
        </w:rPr>
        <w:t>impozitele</w:t>
      </w:r>
      <w:proofErr w:type="spellEnd"/>
      <w:r w:rsidRPr="0038411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4"/>
          <w:szCs w:val="28"/>
        </w:rPr>
        <w:t>și</w:t>
      </w:r>
      <w:proofErr w:type="spellEnd"/>
      <w:r w:rsidRPr="0038411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4"/>
          <w:szCs w:val="28"/>
        </w:rPr>
        <w:t>taxele</w:t>
      </w:r>
      <w:proofErr w:type="spellEnd"/>
      <w:r w:rsidRPr="00384115">
        <w:rPr>
          <w:rFonts w:ascii="Times New Roman" w:hAnsi="Times New Roman" w:cs="Times New Roman"/>
          <w:sz w:val="24"/>
          <w:szCs w:val="28"/>
        </w:rPr>
        <w:t xml:space="preserve"> de stat. </w:t>
      </w: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r w:rsidRPr="00384115">
        <w:rPr>
          <w:rFonts w:ascii="Times New Roman" w:hAnsi="Times New Roman" w:cs="Times New Roman"/>
          <w:b/>
          <w:sz w:val="28"/>
          <w:szCs w:val="28"/>
        </w:rPr>
        <w:t>5.</w:t>
      </w:r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Indicii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referință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411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indemnizației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stabilesc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decizia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autorității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reprezentative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deliberative a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eligibile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11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84115">
        <w:rPr>
          <w:rFonts w:ascii="Times New Roman" w:hAnsi="Times New Roman" w:cs="Times New Roman"/>
          <w:sz w:val="28"/>
          <w:szCs w:val="28"/>
        </w:rPr>
        <w:t xml:space="preserve"> nu pot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depăși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mărimile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maxime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salariul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pct.4,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r w:rsidRPr="00CA2D79">
        <w:rPr>
          <w:rFonts w:ascii="Times New Roman" w:hAnsi="Times New Roman" w:cs="Times New Roman"/>
          <w:b/>
          <w:sz w:val="28"/>
          <w:szCs w:val="28"/>
        </w:rPr>
        <w:t>6.</w:t>
      </w:r>
      <w:r w:rsidRPr="00CA2D79">
        <w:rPr>
          <w:rFonts w:ascii="Times New Roman" w:hAnsi="Times New Roman" w:cs="Times New Roman"/>
          <w:sz w:val="28"/>
          <w:szCs w:val="28"/>
        </w:rPr>
        <w:t xml:space="preserve"> Cota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maximă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indemnizației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lunare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depăși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40% din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salariul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r w:rsidRPr="00CA2D79">
        <w:rPr>
          <w:rFonts w:ascii="Times New Roman" w:hAnsi="Times New Roman" w:cs="Times New Roman"/>
          <w:b/>
          <w:sz w:val="28"/>
          <w:szCs w:val="28"/>
        </w:rPr>
        <w:t>7.</w:t>
      </w:r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Mărimea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indemnizației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lunare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absolută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(lei)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angajat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demnitate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fixează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actul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lastRenderedPageBreak/>
        <w:t>autorității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executive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eligibile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indicelui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referință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decizia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orășenesc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Ștefan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Vodă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conform pct. 5. </w:t>
      </w: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r w:rsidRPr="00CA2D79">
        <w:rPr>
          <w:rFonts w:ascii="Times New Roman" w:hAnsi="Times New Roman" w:cs="Times New Roman"/>
          <w:b/>
          <w:sz w:val="28"/>
          <w:szCs w:val="28"/>
        </w:rPr>
        <w:t>8.</w:t>
      </w:r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Mijloacele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destinate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achitării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indemnizației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lunare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alocate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decizia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orășenesc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Ștefan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Vodă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>.</w:t>
      </w:r>
    </w:p>
    <w:p w:rsidR="00F63647" w:rsidRPr="00CA2D79" w:rsidRDefault="00F63647" w:rsidP="00F63647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r w:rsidRPr="00CA2D79">
        <w:rPr>
          <w:rFonts w:ascii="Times New Roman" w:hAnsi="Times New Roman" w:cs="Times New Roman"/>
          <w:b/>
          <w:sz w:val="28"/>
          <w:szCs w:val="28"/>
        </w:rPr>
        <w:t>9.</w:t>
      </w:r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indemnizațiilor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lunare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capacității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administrative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adecvate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autoritățile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eligibile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Insuficiența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alocațiilor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acoperirea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suplimentare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plății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indemnizațiilor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lunare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nu se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recuperează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alt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647" w:rsidRPr="00B71735" w:rsidRDefault="00F63647" w:rsidP="00F63647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63647" w:rsidRPr="00CA2D79" w:rsidRDefault="00F63647" w:rsidP="00F6364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A2D79">
        <w:rPr>
          <w:rFonts w:ascii="Times New Roman" w:hAnsi="Times New Roman" w:cs="Times New Roman"/>
          <w:b/>
          <w:sz w:val="28"/>
          <w:szCs w:val="28"/>
          <w:lang w:val="ro-RO"/>
        </w:rPr>
        <w:t>MODUL DE ACORDARE ȘI DE CALCUL AL INDEMNIZAȚIEI LUNARE</w:t>
      </w: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r w:rsidRPr="000E54A4">
        <w:rPr>
          <w:rFonts w:ascii="Times New Roman" w:hAnsi="Times New Roman" w:cs="Times New Roman"/>
          <w:b/>
          <w:sz w:val="28"/>
          <w:szCs w:val="28"/>
        </w:rPr>
        <w:t>10.</w:t>
      </w:r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indemnizații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lunare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beneficia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Ștefan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Vodă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încadrat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statul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personal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avizat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Cancelaria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Stat,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demnitate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r w:rsidRPr="000E54A4">
        <w:rPr>
          <w:rFonts w:ascii="Times New Roman" w:hAnsi="Times New Roman" w:cs="Times New Roman"/>
          <w:b/>
          <w:sz w:val="28"/>
          <w:szCs w:val="28"/>
        </w:rPr>
        <w:t>11.</w:t>
      </w:r>
      <w:r w:rsidRPr="00CA2D79">
        <w:rPr>
          <w:rFonts w:ascii="Times New Roman" w:hAnsi="Times New Roman" w:cs="Times New Roman"/>
          <w:sz w:val="28"/>
          <w:szCs w:val="28"/>
        </w:rPr>
        <w:t xml:space="preserve"> Plata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indemnizației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acordă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lunar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zilele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efectiv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lucrate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calendaristic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concomitent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salariul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r w:rsidRPr="000E54A4">
        <w:rPr>
          <w:rFonts w:ascii="Times New Roman" w:hAnsi="Times New Roman" w:cs="Times New Roman"/>
          <w:b/>
          <w:sz w:val="28"/>
          <w:szCs w:val="28"/>
        </w:rPr>
        <w:t>12.</w:t>
      </w:r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căror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raporturi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/de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suspendate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încetate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indemnizația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calculează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salariul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angajatului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efectiv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lucrat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r w:rsidRPr="000E54A4">
        <w:rPr>
          <w:rFonts w:ascii="Times New Roman" w:hAnsi="Times New Roman" w:cs="Times New Roman"/>
          <w:b/>
          <w:sz w:val="28"/>
          <w:szCs w:val="28"/>
        </w:rPr>
        <w:t>13.</w:t>
      </w:r>
      <w:r w:rsidRPr="00CA2D7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determinarea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cuantumului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indemnizației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lunare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nu se include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efectiv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lucrat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perioade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validității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sancțiunii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disciplinare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concediul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odihnă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concediul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concediul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suspendare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individual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specificate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art. 76, 77, cu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excepția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lit.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A2D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78 din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Moldova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154/2003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suspendare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raporturilor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specificate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art. 52,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 xml:space="preserve">53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și</w:t>
      </w:r>
      <w:proofErr w:type="spellEnd"/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54 din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158/2008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statutul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funcționarului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suspendarea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mandatului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demnitate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specificată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art.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21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199/2010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statutul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demnitate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r w:rsidRPr="000E54A4">
        <w:rPr>
          <w:rFonts w:ascii="Times New Roman" w:hAnsi="Times New Roman" w:cs="Times New Roman"/>
          <w:b/>
          <w:sz w:val="28"/>
          <w:szCs w:val="28"/>
        </w:rPr>
        <w:t>14.</w:t>
      </w:r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Ștefan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Vodă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indemnizația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acordă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ținând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salariul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ocupată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r w:rsidRPr="000E54A4">
        <w:rPr>
          <w:rFonts w:ascii="Times New Roman" w:hAnsi="Times New Roman" w:cs="Times New Roman"/>
          <w:b/>
          <w:sz w:val="28"/>
          <w:szCs w:val="28"/>
        </w:rPr>
        <w:t>15.</w:t>
      </w:r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angajatul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afară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activează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cumul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aceeași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unitate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bugetară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2D79">
        <w:rPr>
          <w:rFonts w:ascii="Times New Roman" w:hAnsi="Times New Roman" w:cs="Times New Roman"/>
          <w:sz w:val="28"/>
          <w:szCs w:val="28"/>
        </w:rPr>
        <w:t>altă</w:t>
      </w:r>
      <w:proofErr w:type="spellEnd"/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unitate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contract individual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distinct,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acesta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beneficia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indemnizație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r w:rsidRPr="000E54A4">
        <w:rPr>
          <w:rFonts w:ascii="Times New Roman" w:hAnsi="Times New Roman" w:cs="Times New Roman"/>
          <w:b/>
          <w:sz w:val="28"/>
          <w:szCs w:val="28"/>
        </w:rPr>
        <w:t>16.</w:t>
      </w:r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Angajații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căror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contracte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încetat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lunii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gestiune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art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82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lit.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), f)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art. </w:t>
      </w:r>
      <w:proofErr w:type="gramStart"/>
      <w:r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A2D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art.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85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, art. 86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(1)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lit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. b), c), d), u)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A2D79">
        <w:rPr>
          <w:rFonts w:ascii="Times New Roman" w:hAnsi="Times New Roman" w:cs="Times New Roman"/>
          <w:sz w:val="28"/>
          <w:szCs w:val="28"/>
        </w:rPr>
        <w:t xml:space="preserve">) din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Moldova,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154/2003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, ale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căror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raporturi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r w:rsidRPr="00CA2D79">
        <w:rPr>
          <w:rFonts w:ascii="Times New Roman" w:hAnsi="Times New Roman" w:cs="Times New Roman"/>
          <w:sz w:val="28"/>
          <w:szCs w:val="28"/>
        </w:rPr>
        <w:lastRenderedPageBreak/>
        <w:t xml:space="preserve">au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încetat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art. 62-65 din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158/2008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statutul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funcționarului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căror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mandate au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încetat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art.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22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199/2010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statutul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demnitate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beneficiază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indemnizație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efectiv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lucrat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încetării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individual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încetării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raporturilor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încetării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mandatului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r w:rsidRPr="000E54A4">
        <w:rPr>
          <w:rFonts w:ascii="Times New Roman" w:hAnsi="Times New Roman" w:cs="Times New Roman"/>
          <w:b/>
          <w:sz w:val="28"/>
          <w:szCs w:val="28"/>
        </w:rPr>
        <w:t>17.</w:t>
      </w:r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transferului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angajatului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la o </w:t>
      </w:r>
      <w:proofErr w:type="spellStart"/>
      <w:proofErr w:type="gramStart"/>
      <w:r w:rsidRPr="00CA2D79">
        <w:rPr>
          <w:rFonts w:ascii="Times New Roman" w:hAnsi="Times New Roman" w:cs="Times New Roman"/>
          <w:sz w:val="28"/>
          <w:szCs w:val="28"/>
        </w:rPr>
        <w:t>altă</w:t>
      </w:r>
      <w:proofErr w:type="spellEnd"/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unitate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bugetară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conform art. 86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(1)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lit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. u)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Moldova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154/2003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prevederi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similare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158/2008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statutul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funcționarului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indemnizația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calculează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separat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efectiv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lucrat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unitate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bugetară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  <w:szCs w:val="28"/>
        </w:rPr>
      </w:pPr>
      <w:r w:rsidRPr="000E54A4">
        <w:rPr>
          <w:rFonts w:ascii="Times New Roman" w:hAnsi="Times New Roman" w:cs="Times New Roman"/>
          <w:b/>
          <w:sz w:val="28"/>
          <w:szCs w:val="28"/>
        </w:rPr>
        <w:t>18.</w:t>
      </w:r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concedierii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motivul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încetării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individual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art.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82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, 86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(1)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Moldova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154/2003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similare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A2D79">
        <w:rPr>
          <w:rFonts w:ascii="Times New Roman" w:hAnsi="Times New Roman" w:cs="Times New Roman"/>
          <w:sz w:val="28"/>
          <w:szCs w:val="28"/>
        </w:rPr>
        <w:t>158/2008</w:t>
      </w:r>
      <w:proofErr w:type="gramEnd"/>
      <w:r w:rsidRPr="00CA2D7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statutul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funcționarului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indemnizația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angajaților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respectivi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nu se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plătește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647" w:rsidRDefault="00F63647" w:rsidP="00F63647">
      <w:pPr>
        <w:jc w:val="both"/>
      </w:pPr>
      <w:r w:rsidRPr="003C20B1">
        <w:rPr>
          <w:rFonts w:ascii="Times New Roman" w:hAnsi="Times New Roman" w:cs="Times New Roman"/>
          <w:b/>
          <w:sz w:val="28"/>
          <w:szCs w:val="28"/>
        </w:rPr>
        <w:t>19.</w:t>
      </w:r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detaşării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delegării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angajatul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beneficiază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indemnizația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executivă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eligibile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care/din care a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detașat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delegat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proporțional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timpului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efectiv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lucrat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D79">
        <w:rPr>
          <w:rFonts w:ascii="Times New Roman" w:hAnsi="Times New Roman" w:cs="Times New Roman"/>
          <w:sz w:val="28"/>
          <w:szCs w:val="28"/>
        </w:rPr>
        <w:t>unitățile</w:t>
      </w:r>
      <w:proofErr w:type="spellEnd"/>
      <w:r w:rsidRPr="00CA2D79">
        <w:rPr>
          <w:rFonts w:ascii="Times New Roman" w:hAnsi="Times New Roman" w:cs="Times New Roman"/>
          <w:sz w:val="28"/>
          <w:szCs w:val="28"/>
        </w:rPr>
        <w:t xml:space="preserve"> respective.</w:t>
      </w:r>
      <w:r w:rsidRPr="003C20B1">
        <w:t xml:space="preserve"> </w:t>
      </w:r>
    </w:p>
    <w:p w:rsidR="00F63647" w:rsidRPr="003C20B1" w:rsidRDefault="00F63647" w:rsidP="00F63647">
      <w:pPr>
        <w:jc w:val="both"/>
        <w:rPr>
          <w:rFonts w:ascii="Times New Roman" w:hAnsi="Times New Roman" w:cs="Times New Roman"/>
          <w:b/>
          <w:sz w:val="36"/>
          <w:szCs w:val="28"/>
          <w:lang w:val="ro-RO"/>
        </w:rPr>
      </w:pPr>
      <w:r w:rsidRPr="003C20B1">
        <w:rPr>
          <w:rFonts w:ascii="Times New Roman" w:hAnsi="Times New Roman" w:cs="Times New Roman"/>
          <w:b/>
          <w:sz w:val="28"/>
        </w:rPr>
        <w:t>20.</w:t>
      </w:r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În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cazul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în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care </w:t>
      </w:r>
      <w:proofErr w:type="spellStart"/>
      <w:r w:rsidRPr="003C20B1">
        <w:rPr>
          <w:rFonts w:ascii="Times New Roman" w:hAnsi="Times New Roman" w:cs="Times New Roman"/>
          <w:sz w:val="28"/>
        </w:rPr>
        <w:t>autoritatea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executivă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3C20B1">
        <w:rPr>
          <w:rFonts w:ascii="Times New Roman" w:hAnsi="Times New Roman" w:cs="Times New Roman"/>
          <w:sz w:val="28"/>
        </w:rPr>
        <w:t>administrației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publice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locale </w:t>
      </w:r>
      <w:proofErr w:type="spellStart"/>
      <w:r w:rsidRPr="003C20B1">
        <w:rPr>
          <w:rFonts w:ascii="Times New Roman" w:hAnsi="Times New Roman" w:cs="Times New Roman"/>
          <w:sz w:val="28"/>
        </w:rPr>
        <w:t>eligibilă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la care </w:t>
      </w:r>
      <w:proofErr w:type="spellStart"/>
      <w:r w:rsidRPr="003C20B1">
        <w:rPr>
          <w:rFonts w:ascii="Times New Roman" w:hAnsi="Times New Roman" w:cs="Times New Roman"/>
          <w:sz w:val="28"/>
        </w:rPr>
        <w:t>este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detaşat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angajatul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se </w:t>
      </w:r>
      <w:proofErr w:type="spellStart"/>
      <w:r w:rsidRPr="003C20B1">
        <w:rPr>
          <w:rFonts w:ascii="Times New Roman" w:hAnsi="Times New Roman" w:cs="Times New Roman"/>
          <w:sz w:val="28"/>
        </w:rPr>
        <w:t>află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în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imposibilitate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3C20B1">
        <w:rPr>
          <w:rFonts w:ascii="Times New Roman" w:hAnsi="Times New Roman" w:cs="Times New Roman"/>
          <w:sz w:val="28"/>
        </w:rPr>
        <w:t>plată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C20B1">
        <w:rPr>
          <w:rFonts w:ascii="Times New Roman" w:hAnsi="Times New Roman" w:cs="Times New Roman"/>
          <w:sz w:val="28"/>
        </w:rPr>
        <w:t>obligaţia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achitării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indemnizației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lunare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revine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unităţii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care a </w:t>
      </w:r>
      <w:proofErr w:type="spellStart"/>
      <w:r w:rsidRPr="003C20B1">
        <w:rPr>
          <w:rFonts w:ascii="Times New Roman" w:hAnsi="Times New Roman" w:cs="Times New Roman"/>
          <w:sz w:val="28"/>
        </w:rPr>
        <w:t>dispus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detaşarea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, cu </w:t>
      </w:r>
      <w:proofErr w:type="spellStart"/>
      <w:r w:rsidRPr="003C20B1">
        <w:rPr>
          <w:rFonts w:ascii="Times New Roman" w:hAnsi="Times New Roman" w:cs="Times New Roman"/>
          <w:sz w:val="28"/>
        </w:rPr>
        <w:t>drept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3C20B1">
        <w:rPr>
          <w:rFonts w:ascii="Times New Roman" w:hAnsi="Times New Roman" w:cs="Times New Roman"/>
          <w:sz w:val="28"/>
        </w:rPr>
        <w:t>regres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împotriva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unităţii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în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care a </w:t>
      </w:r>
      <w:proofErr w:type="spellStart"/>
      <w:r w:rsidRPr="003C20B1">
        <w:rPr>
          <w:rFonts w:ascii="Times New Roman" w:hAnsi="Times New Roman" w:cs="Times New Roman"/>
          <w:sz w:val="28"/>
        </w:rPr>
        <w:t>fost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detaşat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salariatul</w:t>
      </w:r>
      <w:proofErr w:type="spellEnd"/>
      <w:r w:rsidRPr="003C20B1">
        <w:rPr>
          <w:rFonts w:ascii="Times New Roman" w:hAnsi="Times New Roman" w:cs="Times New Roman"/>
          <w:sz w:val="28"/>
        </w:rPr>
        <w:t>.</w:t>
      </w:r>
    </w:p>
    <w:p w:rsidR="00F63647" w:rsidRPr="00F63647" w:rsidRDefault="00F63647" w:rsidP="00F6364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 w:rsidRPr="00F63647">
        <w:rPr>
          <w:rFonts w:ascii="Times New Roman" w:hAnsi="Times New Roman" w:cs="Times New Roman"/>
          <w:b/>
          <w:sz w:val="28"/>
          <w:szCs w:val="28"/>
          <w:lang w:val="ro-RO"/>
        </w:rPr>
        <w:t>MONITORIZAREA ȘI RĂSPUNDEREA</w:t>
      </w: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</w:rPr>
      </w:pPr>
      <w:r w:rsidRPr="003C20B1">
        <w:rPr>
          <w:rFonts w:ascii="Times New Roman" w:hAnsi="Times New Roman" w:cs="Times New Roman"/>
          <w:b/>
          <w:sz w:val="28"/>
        </w:rPr>
        <w:t>21.</w:t>
      </w:r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Responsabilitatea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pentru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modul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3C20B1">
        <w:rPr>
          <w:rFonts w:ascii="Times New Roman" w:hAnsi="Times New Roman" w:cs="Times New Roman"/>
          <w:sz w:val="28"/>
        </w:rPr>
        <w:t>stabilire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C20B1">
        <w:rPr>
          <w:rFonts w:ascii="Times New Roman" w:hAnsi="Times New Roman" w:cs="Times New Roman"/>
          <w:sz w:val="28"/>
        </w:rPr>
        <w:t>a</w:t>
      </w:r>
      <w:proofErr w:type="gram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indicilor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3C20B1">
        <w:rPr>
          <w:rFonts w:ascii="Times New Roman" w:hAnsi="Times New Roman" w:cs="Times New Roman"/>
          <w:sz w:val="28"/>
        </w:rPr>
        <w:t>referință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și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acordare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3C20B1">
        <w:rPr>
          <w:rFonts w:ascii="Times New Roman" w:hAnsi="Times New Roman" w:cs="Times New Roman"/>
          <w:sz w:val="28"/>
        </w:rPr>
        <w:t>indemnizației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lunare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beneficiarilor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se </w:t>
      </w:r>
      <w:proofErr w:type="spellStart"/>
      <w:r w:rsidRPr="003C20B1">
        <w:rPr>
          <w:rFonts w:ascii="Times New Roman" w:hAnsi="Times New Roman" w:cs="Times New Roman"/>
          <w:sz w:val="28"/>
        </w:rPr>
        <w:t>pune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în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sarcina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autorităților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administrației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publice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locale, conform </w:t>
      </w:r>
      <w:proofErr w:type="spellStart"/>
      <w:r w:rsidRPr="003C20B1">
        <w:rPr>
          <w:rFonts w:ascii="Times New Roman" w:hAnsi="Times New Roman" w:cs="Times New Roman"/>
          <w:sz w:val="28"/>
        </w:rPr>
        <w:t>competenței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. </w:t>
      </w: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</w:rPr>
      </w:pPr>
      <w:r w:rsidRPr="003C20B1">
        <w:rPr>
          <w:rFonts w:ascii="Times New Roman" w:hAnsi="Times New Roman" w:cs="Times New Roman"/>
          <w:b/>
          <w:sz w:val="28"/>
        </w:rPr>
        <w:t>22.</w:t>
      </w:r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Primarul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C20B1">
        <w:rPr>
          <w:rFonts w:ascii="Times New Roman" w:hAnsi="Times New Roman" w:cs="Times New Roman"/>
          <w:sz w:val="28"/>
        </w:rPr>
        <w:t>va</w:t>
      </w:r>
      <w:proofErr w:type="spellEnd"/>
      <w:proofErr w:type="gram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raporta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anual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Consiliului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orășenesc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Ștefan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Vodă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modul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3C20B1">
        <w:rPr>
          <w:rFonts w:ascii="Times New Roman" w:hAnsi="Times New Roman" w:cs="Times New Roman"/>
          <w:sz w:val="28"/>
        </w:rPr>
        <w:t>valorificare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3C20B1">
        <w:rPr>
          <w:rFonts w:ascii="Times New Roman" w:hAnsi="Times New Roman" w:cs="Times New Roman"/>
          <w:sz w:val="28"/>
        </w:rPr>
        <w:t>sumei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alocate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pentru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achitarea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indemnizației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lunare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. </w:t>
      </w: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</w:rPr>
      </w:pPr>
      <w:r w:rsidRPr="003C20B1">
        <w:rPr>
          <w:rFonts w:ascii="Times New Roman" w:hAnsi="Times New Roman" w:cs="Times New Roman"/>
          <w:b/>
          <w:sz w:val="28"/>
        </w:rPr>
        <w:t>23.</w:t>
      </w:r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Încălcările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și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abaterile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în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procesul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utilizării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alocațiilor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bugetare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destinate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plății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indemnizației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lunare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atrag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după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sine </w:t>
      </w:r>
      <w:proofErr w:type="spellStart"/>
      <w:r w:rsidRPr="003C20B1">
        <w:rPr>
          <w:rFonts w:ascii="Times New Roman" w:hAnsi="Times New Roman" w:cs="Times New Roman"/>
          <w:sz w:val="28"/>
        </w:rPr>
        <w:t>răspunderea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disciplinară</w:t>
      </w:r>
      <w:proofErr w:type="spellEnd"/>
      <w:r w:rsidRPr="003C20B1">
        <w:rPr>
          <w:rFonts w:ascii="Times New Roman" w:hAnsi="Times New Roman" w:cs="Times New Roman"/>
          <w:sz w:val="28"/>
        </w:rPr>
        <w:t>/</w:t>
      </w:r>
      <w:proofErr w:type="spellStart"/>
      <w:r w:rsidRPr="003C20B1">
        <w:rPr>
          <w:rFonts w:ascii="Times New Roman" w:hAnsi="Times New Roman" w:cs="Times New Roman"/>
          <w:sz w:val="28"/>
        </w:rPr>
        <w:t>contravențională</w:t>
      </w:r>
      <w:proofErr w:type="spellEnd"/>
      <w:r w:rsidRPr="003C20B1">
        <w:rPr>
          <w:rFonts w:ascii="Times New Roman" w:hAnsi="Times New Roman" w:cs="Times New Roman"/>
          <w:sz w:val="28"/>
        </w:rPr>
        <w:t>/</w:t>
      </w:r>
      <w:proofErr w:type="spellStart"/>
      <w:r w:rsidRPr="003C20B1">
        <w:rPr>
          <w:rFonts w:ascii="Times New Roman" w:hAnsi="Times New Roman" w:cs="Times New Roman"/>
          <w:sz w:val="28"/>
        </w:rPr>
        <w:t>penală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prevăzută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în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cadrul</w:t>
      </w:r>
      <w:proofErr w:type="spellEnd"/>
      <w:r w:rsidRPr="003C20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C20B1">
        <w:rPr>
          <w:rFonts w:ascii="Times New Roman" w:hAnsi="Times New Roman" w:cs="Times New Roman"/>
          <w:sz w:val="28"/>
        </w:rPr>
        <w:t>normativ</w:t>
      </w:r>
      <w:proofErr w:type="spellEnd"/>
      <w:r w:rsidRPr="003C20B1">
        <w:rPr>
          <w:rFonts w:ascii="Times New Roman" w:hAnsi="Times New Roman" w:cs="Times New Roman"/>
          <w:sz w:val="28"/>
        </w:rPr>
        <w:t>.</w:t>
      </w: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</w:rPr>
      </w:pPr>
    </w:p>
    <w:p w:rsidR="00F63647" w:rsidRDefault="00F63647" w:rsidP="00F63647">
      <w:pPr>
        <w:jc w:val="both"/>
        <w:rPr>
          <w:rFonts w:ascii="Times New Roman" w:hAnsi="Times New Roman" w:cs="Times New Roman"/>
          <w:sz w:val="28"/>
        </w:rPr>
      </w:pPr>
    </w:p>
    <w:p w:rsidR="003D1556" w:rsidRPr="00F63647" w:rsidRDefault="003D1556">
      <w:pPr>
        <w:rPr>
          <w:lang w:val="ro-RO"/>
        </w:rPr>
      </w:pPr>
    </w:p>
    <w:sectPr w:rsidR="003D1556" w:rsidRPr="00F63647" w:rsidSect="003F5EF9">
      <w:pgSz w:w="11906" w:h="16838" w:code="9"/>
      <w:pgMar w:top="1140" w:right="748" w:bottom="1140" w:left="1140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170C3"/>
    <w:multiLevelType w:val="hybridMultilevel"/>
    <w:tmpl w:val="7A7EA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B76CE"/>
    <w:multiLevelType w:val="hybridMultilevel"/>
    <w:tmpl w:val="D9F07522"/>
    <w:lvl w:ilvl="0" w:tplc="9A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47"/>
    <w:rsid w:val="003D1556"/>
    <w:rsid w:val="003F5EF9"/>
    <w:rsid w:val="00F6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241B"/>
  <w15:chartTrackingRefBased/>
  <w15:docId w15:val="{A03694C0-EAF0-4F2E-920B-E04AC856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647"/>
    <w:rPr>
      <w:rFonts w:eastAsiaTheme="minorEastAsia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647"/>
    <w:pPr>
      <w:ind w:left="720"/>
      <w:contextualSpacing/>
    </w:pPr>
  </w:style>
  <w:style w:type="table" w:styleId="a4">
    <w:name w:val="Table Grid"/>
    <w:basedOn w:val="a1"/>
    <w:uiPriority w:val="39"/>
    <w:rsid w:val="00F63647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1533</Words>
  <Characters>8739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2023-08-07T11:23:00Z</dcterms:created>
  <dcterms:modified xsi:type="dcterms:W3CDTF">2023-08-07T11:25:00Z</dcterms:modified>
</cp:coreProperties>
</file>